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E02" w:rsidRPr="008B04F4" w:rsidRDefault="00EC0E02" w:rsidP="00731D70">
      <w:pPr>
        <w:spacing w:line="240" w:lineRule="auto"/>
        <w:rPr>
          <w:rFonts w:ascii="Arial" w:hAnsi="Arial" w:cs="Arial"/>
          <w:sz w:val="28"/>
          <w:szCs w:val="28"/>
        </w:rPr>
      </w:pPr>
      <w:bookmarkStart w:id="0" w:name="_GoBack"/>
      <w:bookmarkEnd w:id="0"/>
      <w:r w:rsidRPr="008B04F4">
        <w:rPr>
          <w:noProof/>
          <w:lang w:eastAsia="en-GB"/>
        </w:rPr>
        <w:drawing>
          <wp:inline distT="0" distB="0" distL="0" distR="0">
            <wp:extent cx="3270250" cy="170243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03129" cy="1719551"/>
                    </a:xfrm>
                    <a:prstGeom prst="rect">
                      <a:avLst/>
                    </a:prstGeom>
                    <a:noFill/>
                    <a:ln>
                      <a:noFill/>
                    </a:ln>
                  </pic:spPr>
                </pic:pic>
              </a:graphicData>
            </a:graphic>
          </wp:inline>
        </w:drawing>
      </w:r>
    </w:p>
    <w:p w:rsidR="00EC0E02" w:rsidRPr="008B04F4" w:rsidRDefault="00EC0E02" w:rsidP="00731D70">
      <w:pPr>
        <w:spacing w:line="240" w:lineRule="auto"/>
        <w:rPr>
          <w:rFonts w:ascii="Arial" w:hAnsi="Arial" w:cs="Arial"/>
          <w:sz w:val="28"/>
          <w:szCs w:val="28"/>
        </w:rPr>
      </w:pPr>
    </w:p>
    <w:p w:rsidR="00E55A37" w:rsidRPr="008B04F4" w:rsidRDefault="00731D70" w:rsidP="00731D70">
      <w:pPr>
        <w:spacing w:line="240" w:lineRule="auto"/>
        <w:rPr>
          <w:rFonts w:ascii="Arial" w:hAnsi="Arial" w:cs="Arial"/>
          <w:sz w:val="28"/>
          <w:szCs w:val="28"/>
        </w:rPr>
      </w:pPr>
      <w:r w:rsidRPr="008B04F4">
        <w:rPr>
          <w:rFonts w:ascii="Arial" w:hAnsi="Arial" w:cs="Arial"/>
          <w:sz w:val="28"/>
          <w:szCs w:val="28"/>
        </w:rPr>
        <w:t>DISABILITY RIGHTS UK</w:t>
      </w:r>
    </w:p>
    <w:p w:rsidR="00731D70" w:rsidRPr="008B04F4" w:rsidRDefault="00731D70" w:rsidP="00731D70">
      <w:pPr>
        <w:spacing w:line="240" w:lineRule="auto"/>
        <w:rPr>
          <w:rFonts w:ascii="Arial" w:hAnsi="Arial" w:cs="Arial"/>
          <w:sz w:val="28"/>
          <w:szCs w:val="28"/>
        </w:rPr>
      </w:pPr>
      <w:r w:rsidRPr="008B04F4">
        <w:rPr>
          <w:rFonts w:ascii="Arial" w:hAnsi="Arial" w:cs="Arial"/>
          <w:sz w:val="28"/>
          <w:szCs w:val="28"/>
        </w:rPr>
        <w:t>RESPONSE TO THE LGA CONSULTATION ‘THE LIVES WE WANT TO LEAD – THE LGA GREEN PAPER FOR ADULT SOCIAL CARE AND WELLBEING’</w:t>
      </w:r>
    </w:p>
    <w:p w:rsidR="00731D70" w:rsidRPr="008B04F4" w:rsidRDefault="00731D70" w:rsidP="00731D70">
      <w:pPr>
        <w:spacing w:line="240" w:lineRule="auto"/>
        <w:rPr>
          <w:rFonts w:ascii="Arial" w:hAnsi="Arial" w:cs="Arial"/>
          <w:sz w:val="28"/>
          <w:szCs w:val="28"/>
        </w:rPr>
      </w:pPr>
    </w:p>
    <w:p w:rsidR="00731D70" w:rsidRPr="008B04F4" w:rsidRDefault="00731D70" w:rsidP="00731D70">
      <w:pPr>
        <w:spacing w:line="240" w:lineRule="auto"/>
        <w:rPr>
          <w:rFonts w:ascii="Arial" w:hAnsi="Arial" w:cs="Arial"/>
          <w:sz w:val="28"/>
          <w:szCs w:val="28"/>
        </w:rPr>
      </w:pPr>
      <w:r w:rsidRPr="008B04F4">
        <w:rPr>
          <w:rFonts w:ascii="Arial" w:hAnsi="Arial" w:cs="Arial"/>
          <w:sz w:val="28"/>
          <w:szCs w:val="28"/>
          <w:u w:val="single"/>
        </w:rPr>
        <w:t>We wouldn’t start from here . . .</w:t>
      </w:r>
    </w:p>
    <w:p w:rsidR="005D5DF9" w:rsidRPr="008B04F4" w:rsidRDefault="00731D70" w:rsidP="00731D70">
      <w:pPr>
        <w:spacing w:line="240" w:lineRule="auto"/>
        <w:rPr>
          <w:rFonts w:ascii="Arial" w:hAnsi="Arial" w:cs="Arial"/>
          <w:sz w:val="28"/>
          <w:szCs w:val="28"/>
        </w:rPr>
      </w:pPr>
      <w:r w:rsidRPr="008B04F4">
        <w:rPr>
          <w:rFonts w:ascii="Arial" w:hAnsi="Arial" w:cs="Arial"/>
          <w:sz w:val="28"/>
          <w:szCs w:val="28"/>
        </w:rPr>
        <w:t xml:space="preserve">The LGA are correct in asserting in their title that the future of social care is all about the lives we want to lead.  But, in our view, just tinkering with the system </w:t>
      </w:r>
      <w:r w:rsidR="005D5DF9" w:rsidRPr="008B04F4">
        <w:rPr>
          <w:rFonts w:ascii="Arial" w:hAnsi="Arial" w:cs="Arial"/>
          <w:sz w:val="28"/>
          <w:szCs w:val="28"/>
        </w:rPr>
        <w:t xml:space="preserve">by encouraging improvements </w:t>
      </w:r>
      <w:r w:rsidRPr="008B04F4">
        <w:rPr>
          <w:rFonts w:ascii="Arial" w:hAnsi="Arial" w:cs="Arial"/>
          <w:sz w:val="28"/>
          <w:szCs w:val="28"/>
        </w:rPr>
        <w:t>and giving it a bit more money will not achieve a good life for citizens.</w:t>
      </w:r>
      <w:r w:rsidR="005D5DF9" w:rsidRPr="008B04F4">
        <w:rPr>
          <w:rFonts w:ascii="Arial" w:hAnsi="Arial" w:cs="Arial"/>
          <w:sz w:val="28"/>
          <w:szCs w:val="28"/>
        </w:rPr>
        <w:t xml:space="preserve">  It needs a complete rethink about the purpose, whether local government are the best placed deliver support, integration with other forms of support, and how much we have to pay.</w:t>
      </w:r>
    </w:p>
    <w:p w:rsidR="005D5DF9" w:rsidRPr="008B04F4" w:rsidRDefault="005D5DF9" w:rsidP="00731D70">
      <w:pPr>
        <w:spacing w:line="240" w:lineRule="auto"/>
        <w:rPr>
          <w:rFonts w:ascii="Arial" w:hAnsi="Arial" w:cs="Arial"/>
          <w:sz w:val="28"/>
          <w:szCs w:val="28"/>
        </w:rPr>
      </w:pPr>
      <w:r w:rsidRPr="008B04F4">
        <w:rPr>
          <w:rFonts w:ascii="Arial" w:hAnsi="Arial" w:cs="Arial"/>
          <w:sz w:val="28"/>
          <w:szCs w:val="28"/>
          <w:u w:val="single"/>
        </w:rPr>
        <w:t>The Purpose of Social Care</w:t>
      </w:r>
    </w:p>
    <w:p w:rsidR="004A2976" w:rsidRPr="008B04F4" w:rsidRDefault="005D5DF9" w:rsidP="00731D70">
      <w:pPr>
        <w:spacing w:line="240" w:lineRule="auto"/>
        <w:rPr>
          <w:rFonts w:ascii="Arial" w:hAnsi="Arial" w:cs="Arial"/>
          <w:sz w:val="28"/>
          <w:szCs w:val="28"/>
        </w:rPr>
      </w:pPr>
      <w:bookmarkStart w:id="1" w:name="_Hlk525656220"/>
      <w:r w:rsidRPr="008B04F4">
        <w:rPr>
          <w:rFonts w:ascii="Arial" w:hAnsi="Arial" w:cs="Arial"/>
          <w:sz w:val="28"/>
          <w:szCs w:val="28"/>
        </w:rPr>
        <w:t xml:space="preserve">In our view we need to be looking at people’s whole lives and how we who need support, can fulfil our aspirations and live in society as equal citizens.  </w:t>
      </w:r>
      <w:r w:rsidR="00731D70" w:rsidRPr="008B04F4">
        <w:rPr>
          <w:rFonts w:ascii="Arial" w:hAnsi="Arial" w:cs="Arial"/>
          <w:sz w:val="28"/>
          <w:szCs w:val="28"/>
        </w:rPr>
        <w:t xml:space="preserve"> </w:t>
      </w:r>
      <w:r w:rsidR="00401A60" w:rsidRPr="008B04F4">
        <w:rPr>
          <w:rFonts w:ascii="Arial" w:hAnsi="Arial" w:cs="Arial"/>
          <w:sz w:val="28"/>
          <w:szCs w:val="28"/>
        </w:rPr>
        <w:t>W</w:t>
      </w:r>
      <w:r w:rsidR="004A2976" w:rsidRPr="008B04F4">
        <w:rPr>
          <w:rFonts w:ascii="Arial" w:hAnsi="Arial" w:cs="Arial"/>
          <w:sz w:val="28"/>
          <w:szCs w:val="28"/>
        </w:rPr>
        <w:t>e need to go beyond wellbeing to looking at not just having a good quality of life but what we want to do with our lives – what we call independent living.</w:t>
      </w:r>
    </w:p>
    <w:bookmarkEnd w:id="1"/>
    <w:p w:rsidR="004A2976" w:rsidRPr="008B04F4" w:rsidRDefault="004A2976" w:rsidP="00731D70">
      <w:pPr>
        <w:spacing w:line="240" w:lineRule="auto"/>
        <w:rPr>
          <w:rFonts w:ascii="Arial" w:hAnsi="Arial" w:cs="Arial"/>
          <w:sz w:val="28"/>
          <w:szCs w:val="28"/>
          <w:u w:val="single"/>
        </w:rPr>
      </w:pPr>
      <w:r w:rsidRPr="008B04F4">
        <w:rPr>
          <w:rFonts w:ascii="Arial" w:hAnsi="Arial" w:cs="Arial"/>
          <w:sz w:val="28"/>
          <w:szCs w:val="28"/>
          <w:u w:val="single"/>
        </w:rPr>
        <w:t>Independent Living</w:t>
      </w:r>
    </w:p>
    <w:p w:rsidR="004A2976" w:rsidRPr="008B04F4" w:rsidRDefault="004A2976" w:rsidP="00731D70">
      <w:pPr>
        <w:spacing w:line="240" w:lineRule="auto"/>
        <w:rPr>
          <w:rFonts w:ascii="Arial" w:hAnsi="Arial" w:cs="Arial"/>
          <w:sz w:val="28"/>
          <w:szCs w:val="28"/>
        </w:rPr>
      </w:pPr>
      <w:r w:rsidRPr="008B04F4">
        <w:rPr>
          <w:rFonts w:ascii="Arial" w:hAnsi="Arial" w:cs="Arial"/>
          <w:sz w:val="28"/>
          <w:szCs w:val="28"/>
        </w:rPr>
        <w:t xml:space="preserve">The Independent Living Strategy Group, Chaired by Baroness Jane Campbell, and made up of Disability Rights UK, other Disabled People’s Organisations and voluntary organisations concerned with disability </w:t>
      </w:r>
      <w:r w:rsidR="00130A15" w:rsidRPr="008B04F4">
        <w:rPr>
          <w:rFonts w:ascii="Arial" w:hAnsi="Arial" w:cs="Arial"/>
          <w:sz w:val="28"/>
          <w:szCs w:val="28"/>
        </w:rPr>
        <w:t>has agreed the following position statement:</w:t>
      </w:r>
    </w:p>
    <w:p w:rsidR="004A2976" w:rsidRPr="008B04F4" w:rsidRDefault="004A2976" w:rsidP="004A2976">
      <w:pPr>
        <w:pStyle w:val="BodyA"/>
      </w:pPr>
      <w:r w:rsidRPr="008B04F4">
        <w:rPr>
          <w:rFonts w:ascii="Arial" w:hAnsi="Arial" w:cs="Arial"/>
          <w:sz w:val="28"/>
          <w:szCs w:val="28"/>
        </w:rPr>
        <w:t>“</w:t>
      </w:r>
      <w:r w:rsidRPr="008B04F4">
        <w:rPr>
          <w:rFonts w:ascii="Arial" w:hAnsi="Arial"/>
          <w:sz w:val="28"/>
          <w:szCs w:val="28"/>
        </w:rPr>
        <w:t xml:space="preserve">Independent living means disabled people living in the community with the same choices, control and freedom as any other citizen, with the removal of barriers to equality of opportunity, and where any practical assistance is based on our own choices and aspirations. The same </w:t>
      </w:r>
      <w:r w:rsidRPr="008B04F4">
        <w:rPr>
          <w:rFonts w:ascii="Arial" w:hAnsi="Arial"/>
          <w:sz w:val="28"/>
          <w:szCs w:val="28"/>
        </w:rPr>
        <w:lastRenderedPageBreak/>
        <w:t>principles extend to people managing long term health conditions, and include people of all ages.</w:t>
      </w:r>
    </w:p>
    <w:p w:rsidR="004A2976" w:rsidRPr="008B04F4" w:rsidRDefault="004A2976" w:rsidP="004A2976">
      <w:pPr>
        <w:pStyle w:val="BodyA"/>
      </w:pPr>
    </w:p>
    <w:p w:rsidR="004A2976" w:rsidRPr="008B04F4" w:rsidRDefault="004A2976" w:rsidP="004A2976">
      <w:pPr>
        <w:pStyle w:val="BodyA"/>
      </w:pPr>
      <w:r w:rsidRPr="008B04F4">
        <w:rPr>
          <w:rFonts w:ascii="Arial" w:hAnsi="Arial"/>
          <w:sz w:val="28"/>
          <w:szCs w:val="28"/>
        </w:rPr>
        <w:t xml:space="preserve">Over the last thirty years or so, we have seen major improvements in disabled people’s life chances.  Our society now expects disabled people to be treated with respect, to have opportunities, to live in their own homes with their own families, and make their own contributions to their local communities and to society generally. </w:t>
      </w:r>
    </w:p>
    <w:p w:rsidR="004A2976" w:rsidRPr="008B04F4" w:rsidRDefault="004A2976" w:rsidP="004A2976">
      <w:pPr>
        <w:pStyle w:val="BodyA"/>
      </w:pPr>
    </w:p>
    <w:p w:rsidR="004A2976" w:rsidRPr="008B04F4" w:rsidRDefault="004A2976" w:rsidP="004A2976">
      <w:pPr>
        <w:pStyle w:val="BodyA"/>
      </w:pPr>
      <w:r w:rsidRPr="008B04F4">
        <w:rPr>
          <w:rFonts w:ascii="Arial" w:hAnsi="Arial"/>
          <w:sz w:val="28"/>
          <w:szCs w:val="28"/>
        </w:rPr>
        <w:t>Much of this progress has been brought about by the efforts of disabled people themselves and their organisations.  We persuaded both central and local government that the resources that society makes available should be spent in ways which enable us to achieve our goals, to participate and to contribute just as much as any other citizen.  Our case for a more integrated and joined up response to our needs, with the emphasis on supporting self-determination, has been largely accepted although not yet fully realised.</w:t>
      </w:r>
    </w:p>
    <w:p w:rsidR="004A2976" w:rsidRPr="008B04F4" w:rsidRDefault="004A2976" w:rsidP="004A2976">
      <w:pPr>
        <w:pStyle w:val="BodyA"/>
      </w:pPr>
    </w:p>
    <w:p w:rsidR="004A2976" w:rsidRPr="008B04F4" w:rsidRDefault="004A2976" w:rsidP="004A2976">
      <w:pPr>
        <w:pStyle w:val="BodyA"/>
      </w:pPr>
      <w:r w:rsidRPr="008B04F4">
        <w:rPr>
          <w:rFonts w:ascii="Arial" w:hAnsi="Arial"/>
          <w:sz w:val="28"/>
          <w:szCs w:val="28"/>
        </w:rPr>
        <w:t xml:space="preserve">These victories were a reflection of support for the kind of society which includes everyone and a recognition that we all benefit from living in inclusive, </w:t>
      </w:r>
      <w:r w:rsidRPr="008B04F4">
        <w:rPr>
          <w:rFonts w:ascii="Arial" w:hAnsi="Arial"/>
          <w:sz w:val="28"/>
          <w:szCs w:val="28"/>
          <w:u w:color="FF0000"/>
        </w:rPr>
        <w:t>accessible</w:t>
      </w:r>
      <w:r w:rsidRPr="008B04F4">
        <w:rPr>
          <w:rFonts w:ascii="Arial" w:hAnsi="Arial"/>
          <w:sz w:val="28"/>
          <w:szCs w:val="28"/>
        </w:rPr>
        <w:t xml:space="preserve"> and welcoming communities. There is widespread support for </w:t>
      </w:r>
      <w:r w:rsidRPr="008B04F4">
        <w:rPr>
          <w:rFonts w:ascii="Arial" w:hAnsi="Arial"/>
          <w:sz w:val="28"/>
          <w:szCs w:val="28"/>
          <w:lang w:val="en-GB"/>
        </w:rPr>
        <w:t xml:space="preserve">public services </w:t>
      </w:r>
      <w:r w:rsidRPr="008B04F4">
        <w:rPr>
          <w:rFonts w:ascii="Arial" w:hAnsi="Arial"/>
          <w:sz w:val="28"/>
          <w:szCs w:val="28"/>
        </w:rPr>
        <w:t>which meet people's aspirations and the needs of modern society.</w:t>
      </w:r>
    </w:p>
    <w:p w:rsidR="004A2976" w:rsidRPr="008B04F4" w:rsidRDefault="004A2976" w:rsidP="004A2976">
      <w:pPr>
        <w:pStyle w:val="BodyA"/>
      </w:pPr>
    </w:p>
    <w:p w:rsidR="004A2976" w:rsidRPr="008B04F4" w:rsidRDefault="004A2976" w:rsidP="004A2976">
      <w:pPr>
        <w:pStyle w:val="BodyA"/>
      </w:pPr>
      <w:bookmarkStart w:id="2" w:name="_Hlk525656265"/>
      <w:r w:rsidRPr="008B04F4">
        <w:rPr>
          <w:rFonts w:ascii="Arial" w:hAnsi="Arial"/>
          <w:sz w:val="28"/>
          <w:szCs w:val="28"/>
        </w:rPr>
        <w:t xml:space="preserve">Our aspirations for independent living are, therefore, a shared enterprise between disabled people, government and the wider society - and they will only be achieved if policies and their implementation are carried out in partnership with us.  </w:t>
      </w:r>
    </w:p>
    <w:bookmarkEnd w:id="2"/>
    <w:p w:rsidR="004A2976" w:rsidRPr="008B04F4" w:rsidRDefault="004A2976" w:rsidP="004A2976">
      <w:pPr>
        <w:pStyle w:val="BodyA"/>
      </w:pPr>
    </w:p>
    <w:p w:rsidR="004A2976" w:rsidRPr="008B04F4" w:rsidRDefault="004A2976" w:rsidP="004A2976">
      <w:pPr>
        <w:pStyle w:val="BodyA"/>
      </w:pPr>
      <w:r w:rsidRPr="008B04F4">
        <w:rPr>
          <w:rFonts w:ascii="Arial" w:hAnsi="Arial"/>
          <w:sz w:val="28"/>
          <w:szCs w:val="28"/>
        </w:rPr>
        <w:t>Independent living is not just about social care. Neither is it about living on your own or doing things for yourself.  Instead it means having choice and control over whatever assistance we need to go about our daily lives.  It means, as the UN Convention on the Rights of People with Disabilities says, having the equal right to live in the community, with choices equal to others.</w:t>
      </w:r>
    </w:p>
    <w:p w:rsidR="004A2976" w:rsidRPr="008B04F4" w:rsidRDefault="004A2976" w:rsidP="004A2976">
      <w:pPr>
        <w:pStyle w:val="BodyA"/>
      </w:pPr>
    </w:p>
    <w:p w:rsidR="004A2976" w:rsidRPr="008B04F4" w:rsidRDefault="004A2976" w:rsidP="004A2976">
      <w:pPr>
        <w:pStyle w:val="BodyA"/>
      </w:pPr>
      <w:r w:rsidRPr="008B04F4">
        <w:rPr>
          <w:rFonts w:ascii="Arial" w:hAnsi="Arial"/>
          <w:sz w:val="28"/>
          <w:szCs w:val="28"/>
        </w:rPr>
        <w:t xml:space="preserve">Our aspirations rely on an integrated support framework and the removal of barriers in all aspects of our lives. We all want a society which invests in the things that connect people to one another and to communities, the things that make us all feel part of society and not ‘apart from’ society.  </w:t>
      </w:r>
    </w:p>
    <w:p w:rsidR="004A2976" w:rsidRPr="008B04F4" w:rsidRDefault="004A2976" w:rsidP="004A2976">
      <w:pPr>
        <w:pStyle w:val="BodyA"/>
      </w:pPr>
    </w:p>
    <w:p w:rsidR="004A2976" w:rsidRPr="008B04F4" w:rsidRDefault="004A2976" w:rsidP="004A2976">
      <w:pPr>
        <w:pStyle w:val="BodyA"/>
      </w:pPr>
      <w:r w:rsidRPr="008B04F4">
        <w:rPr>
          <w:rFonts w:ascii="Arial" w:hAnsi="Arial"/>
          <w:sz w:val="28"/>
          <w:szCs w:val="28"/>
        </w:rPr>
        <w:t xml:space="preserve">It is this vision of independent living which we believe must underpin the political and public debates about the future of social care.  We look to both central and local government to promote, protect and fulfil the rights </w:t>
      </w:r>
      <w:r w:rsidRPr="008B04F4">
        <w:rPr>
          <w:rFonts w:ascii="Arial" w:hAnsi="Arial"/>
          <w:sz w:val="28"/>
          <w:szCs w:val="28"/>
        </w:rPr>
        <w:lastRenderedPageBreak/>
        <w:t>of disabled people to live independently in the community and to secure their full inclusion, contribution and participation in all aspects of social and economic life.</w:t>
      </w:r>
    </w:p>
    <w:p w:rsidR="004A2976" w:rsidRPr="008B04F4" w:rsidRDefault="004A2976" w:rsidP="004A2976">
      <w:pPr>
        <w:pStyle w:val="BodyA"/>
      </w:pPr>
    </w:p>
    <w:p w:rsidR="004A2976" w:rsidRPr="008B04F4" w:rsidRDefault="004A2976" w:rsidP="004A2976">
      <w:pPr>
        <w:pStyle w:val="BodyA"/>
        <w:rPr>
          <w:rFonts w:ascii="Arial" w:hAnsi="Arial"/>
          <w:sz w:val="28"/>
          <w:szCs w:val="28"/>
        </w:rPr>
      </w:pPr>
      <w:r w:rsidRPr="008B04F4">
        <w:rPr>
          <w:rFonts w:ascii="Arial" w:hAnsi="Arial"/>
          <w:sz w:val="28"/>
          <w:szCs w:val="28"/>
        </w:rPr>
        <w:t xml:space="preserve">We urge public and politicians alike to move beyond the current debate about the cost of residential care for older people. People of all ages, who need assistance to go about their daily lives, want to be connected to their communities and to have choices equal to others.  The best practice that currently goes under the heading of ‘social care’ is about enabling the lives we choose to live.  When this is achieved it is the most important thing that our society can do for its citizens.  Our public and political debate should therefore be about how do we achieve this because, if we do, all our lives will be improved. </w:t>
      </w:r>
    </w:p>
    <w:p w:rsidR="00130A15" w:rsidRPr="008B04F4" w:rsidRDefault="00130A15" w:rsidP="004A2976">
      <w:pPr>
        <w:pStyle w:val="BodyA"/>
        <w:rPr>
          <w:rFonts w:ascii="Arial" w:hAnsi="Arial"/>
          <w:sz w:val="28"/>
          <w:szCs w:val="28"/>
        </w:rPr>
      </w:pPr>
    </w:p>
    <w:p w:rsidR="00130A15" w:rsidRPr="008B04F4" w:rsidRDefault="00130A15" w:rsidP="004A2976">
      <w:pPr>
        <w:pStyle w:val="BodyA"/>
        <w:rPr>
          <w:rFonts w:ascii="Arial" w:hAnsi="Arial"/>
          <w:sz w:val="28"/>
          <w:szCs w:val="28"/>
        </w:rPr>
      </w:pPr>
      <w:r w:rsidRPr="008B04F4">
        <w:rPr>
          <w:rFonts w:ascii="Arial" w:hAnsi="Arial"/>
          <w:sz w:val="28"/>
          <w:szCs w:val="28"/>
          <w:u w:val="single"/>
        </w:rPr>
        <w:t>The Role of Local Government</w:t>
      </w:r>
    </w:p>
    <w:p w:rsidR="00130A15" w:rsidRPr="008B04F4" w:rsidRDefault="00130A15" w:rsidP="004A2976">
      <w:pPr>
        <w:pStyle w:val="BodyA"/>
        <w:rPr>
          <w:rFonts w:ascii="Arial" w:hAnsi="Arial"/>
          <w:sz w:val="28"/>
          <w:szCs w:val="28"/>
        </w:rPr>
      </w:pPr>
    </w:p>
    <w:p w:rsidR="00130A15" w:rsidRPr="008B04F4" w:rsidRDefault="00130A15" w:rsidP="004A2976">
      <w:pPr>
        <w:pStyle w:val="BodyA"/>
        <w:rPr>
          <w:rFonts w:ascii="Arial" w:hAnsi="Arial"/>
          <w:sz w:val="28"/>
          <w:szCs w:val="28"/>
        </w:rPr>
      </w:pPr>
      <w:bookmarkStart w:id="3" w:name="_Hlk525656304"/>
      <w:r w:rsidRPr="008B04F4">
        <w:rPr>
          <w:rFonts w:ascii="Arial" w:hAnsi="Arial"/>
          <w:sz w:val="28"/>
          <w:szCs w:val="28"/>
        </w:rPr>
        <w:t>The amount of support people receive should not be dependent on where you live and the ability of the local authority to scare national government into gifting additional resources.  We think there should be a national system that delivers for people wherever they live in England.</w:t>
      </w:r>
    </w:p>
    <w:bookmarkEnd w:id="3"/>
    <w:p w:rsidR="00130A15" w:rsidRPr="008B04F4" w:rsidRDefault="00130A15" w:rsidP="004A2976">
      <w:pPr>
        <w:pStyle w:val="BodyA"/>
        <w:rPr>
          <w:rFonts w:ascii="Arial" w:hAnsi="Arial"/>
          <w:sz w:val="28"/>
          <w:szCs w:val="28"/>
        </w:rPr>
      </w:pPr>
    </w:p>
    <w:p w:rsidR="00130A15" w:rsidRPr="008B04F4" w:rsidRDefault="00130A15" w:rsidP="004A2976">
      <w:pPr>
        <w:pStyle w:val="BodyA"/>
        <w:rPr>
          <w:rFonts w:ascii="Arial" w:hAnsi="Arial"/>
          <w:sz w:val="28"/>
          <w:szCs w:val="28"/>
        </w:rPr>
      </w:pPr>
      <w:r w:rsidRPr="008B04F4">
        <w:rPr>
          <w:rFonts w:ascii="Arial" w:hAnsi="Arial"/>
          <w:sz w:val="28"/>
          <w:szCs w:val="28"/>
        </w:rPr>
        <w:t>But there is a role for local government.  We think that roles lies in ‘place shaping’ encouraging the growth of communities that are inclusive of all and able to respond to the support needs of disabled people.  Local government also has a role in signposting to relevant support and the provision of information.</w:t>
      </w:r>
    </w:p>
    <w:p w:rsidR="00130A15" w:rsidRPr="008B04F4" w:rsidRDefault="00130A15" w:rsidP="004A2976">
      <w:pPr>
        <w:pStyle w:val="BodyA"/>
        <w:rPr>
          <w:rFonts w:ascii="Arial" w:hAnsi="Arial"/>
          <w:sz w:val="28"/>
          <w:szCs w:val="28"/>
        </w:rPr>
      </w:pPr>
    </w:p>
    <w:p w:rsidR="00130A15" w:rsidRPr="008B04F4" w:rsidRDefault="00130A15" w:rsidP="004A2976">
      <w:pPr>
        <w:pStyle w:val="BodyA"/>
        <w:rPr>
          <w:rFonts w:ascii="Arial" w:hAnsi="Arial"/>
          <w:sz w:val="28"/>
          <w:szCs w:val="28"/>
        </w:rPr>
      </w:pPr>
      <w:r w:rsidRPr="008B04F4">
        <w:rPr>
          <w:rFonts w:ascii="Arial" w:hAnsi="Arial"/>
          <w:sz w:val="28"/>
          <w:szCs w:val="28"/>
          <w:u w:val="single"/>
        </w:rPr>
        <w:t>Integration</w:t>
      </w:r>
    </w:p>
    <w:p w:rsidR="00130A15" w:rsidRPr="008B04F4" w:rsidRDefault="00130A15" w:rsidP="004A2976">
      <w:pPr>
        <w:pStyle w:val="BodyA"/>
        <w:rPr>
          <w:rFonts w:ascii="Arial" w:hAnsi="Arial"/>
          <w:sz w:val="28"/>
          <w:szCs w:val="28"/>
        </w:rPr>
      </w:pPr>
    </w:p>
    <w:p w:rsidR="00130A15" w:rsidRPr="008B04F4" w:rsidRDefault="00130A15" w:rsidP="004A2976">
      <w:pPr>
        <w:pStyle w:val="BodyA"/>
        <w:rPr>
          <w:rFonts w:ascii="Arial" w:hAnsi="Arial"/>
          <w:sz w:val="28"/>
          <w:szCs w:val="28"/>
        </w:rPr>
      </w:pPr>
      <w:r w:rsidRPr="008B04F4">
        <w:rPr>
          <w:rFonts w:ascii="Arial" w:hAnsi="Arial"/>
          <w:sz w:val="28"/>
          <w:szCs w:val="28"/>
        </w:rPr>
        <w:t>For disabled people’s aspirations to be met joined up support is required.  Social care is only one part of our lives.  Disabled people also receive support in health, work, education and housing</w:t>
      </w:r>
      <w:bookmarkStart w:id="4" w:name="_Hlk525656360"/>
      <w:r w:rsidRPr="008B04F4">
        <w:rPr>
          <w:rFonts w:ascii="Arial" w:hAnsi="Arial"/>
          <w:sz w:val="28"/>
          <w:szCs w:val="28"/>
        </w:rPr>
        <w:t xml:space="preserve">.  Being able to put that support together in one budget would lead to </w:t>
      </w:r>
      <w:r w:rsidR="00CB39D7" w:rsidRPr="008B04F4">
        <w:rPr>
          <w:rFonts w:ascii="Arial" w:hAnsi="Arial"/>
          <w:sz w:val="28"/>
          <w:szCs w:val="28"/>
        </w:rPr>
        <w:t>more choice and control in how we lead our lives, increased efficiency, and improved outcomes in allowing us to determine what our personal priorities are and what would be most effective to reach our aspirations.</w:t>
      </w:r>
    </w:p>
    <w:bookmarkEnd w:id="4"/>
    <w:p w:rsidR="00CB39D7" w:rsidRPr="008B04F4" w:rsidRDefault="00CB39D7" w:rsidP="004A2976">
      <w:pPr>
        <w:pStyle w:val="BodyA"/>
        <w:rPr>
          <w:rFonts w:ascii="Arial" w:hAnsi="Arial"/>
          <w:sz w:val="28"/>
          <w:szCs w:val="28"/>
        </w:rPr>
      </w:pPr>
    </w:p>
    <w:p w:rsidR="00CB39D7" w:rsidRPr="008B04F4" w:rsidRDefault="00CB39D7" w:rsidP="004A2976">
      <w:pPr>
        <w:pStyle w:val="BodyA"/>
        <w:rPr>
          <w:rFonts w:ascii="Arial" w:hAnsi="Arial"/>
          <w:sz w:val="28"/>
          <w:szCs w:val="28"/>
        </w:rPr>
      </w:pPr>
      <w:r w:rsidRPr="008B04F4">
        <w:rPr>
          <w:rFonts w:ascii="Arial" w:hAnsi="Arial"/>
          <w:sz w:val="28"/>
          <w:szCs w:val="28"/>
          <w:u w:val="single"/>
        </w:rPr>
        <w:t>Paying for it all</w:t>
      </w:r>
    </w:p>
    <w:p w:rsidR="00CB39D7" w:rsidRPr="008B04F4" w:rsidRDefault="00CB39D7" w:rsidP="004A2976">
      <w:pPr>
        <w:pStyle w:val="BodyA"/>
        <w:rPr>
          <w:rFonts w:ascii="Arial" w:hAnsi="Arial"/>
          <w:sz w:val="28"/>
          <w:szCs w:val="28"/>
        </w:rPr>
      </w:pPr>
    </w:p>
    <w:p w:rsidR="00CB39D7" w:rsidRPr="008B04F4" w:rsidRDefault="00CB39D7" w:rsidP="004A2976">
      <w:pPr>
        <w:pStyle w:val="BodyA"/>
        <w:rPr>
          <w:rFonts w:ascii="Arial" w:hAnsi="Arial"/>
          <w:sz w:val="28"/>
          <w:szCs w:val="28"/>
        </w:rPr>
      </w:pPr>
      <w:bookmarkStart w:id="5" w:name="_Hlk525656418"/>
      <w:r w:rsidRPr="008B04F4">
        <w:rPr>
          <w:rFonts w:ascii="Arial" w:hAnsi="Arial"/>
          <w:sz w:val="28"/>
          <w:szCs w:val="28"/>
        </w:rPr>
        <w:t>There can only be integration if support, from whatever source, is free at the point of use.  Therefore</w:t>
      </w:r>
      <w:r w:rsidR="00EC0E02" w:rsidRPr="008B04F4">
        <w:rPr>
          <w:rFonts w:ascii="Arial" w:hAnsi="Arial"/>
          <w:sz w:val="28"/>
          <w:szCs w:val="28"/>
        </w:rPr>
        <w:t>,</w:t>
      </w:r>
      <w:r w:rsidRPr="008B04F4">
        <w:rPr>
          <w:rFonts w:ascii="Arial" w:hAnsi="Arial"/>
          <w:sz w:val="28"/>
          <w:szCs w:val="28"/>
        </w:rPr>
        <w:t xml:space="preserve"> support should be funded from general taxation.  </w:t>
      </w:r>
      <w:bookmarkEnd w:id="5"/>
      <w:r w:rsidRPr="008B04F4">
        <w:rPr>
          <w:rFonts w:ascii="Arial" w:hAnsi="Arial"/>
          <w:sz w:val="28"/>
          <w:szCs w:val="28"/>
        </w:rPr>
        <w:t>We recognize that there is a debate to be had about our current system of taxation and how fair or not it is but that is a debate for elsewhere rather than in a response to this consultation.  What we have outlined is the principle.</w:t>
      </w:r>
    </w:p>
    <w:p w:rsidR="00CB39D7" w:rsidRPr="008B04F4" w:rsidRDefault="00CB39D7" w:rsidP="004A2976">
      <w:pPr>
        <w:pStyle w:val="BodyA"/>
        <w:rPr>
          <w:rFonts w:ascii="Arial" w:hAnsi="Arial"/>
          <w:sz w:val="28"/>
          <w:szCs w:val="28"/>
        </w:rPr>
      </w:pPr>
    </w:p>
    <w:p w:rsidR="00CB39D7" w:rsidRPr="008B04F4" w:rsidRDefault="00CB39D7" w:rsidP="004A2976">
      <w:pPr>
        <w:pStyle w:val="BodyA"/>
        <w:rPr>
          <w:rFonts w:ascii="Arial" w:hAnsi="Arial"/>
          <w:sz w:val="28"/>
          <w:szCs w:val="28"/>
        </w:rPr>
      </w:pPr>
      <w:r w:rsidRPr="008B04F4">
        <w:rPr>
          <w:rFonts w:ascii="Arial" w:hAnsi="Arial"/>
          <w:sz w:val="28"/>
          <w:szCs w:val="28"/>
        </w:rPr>
        <w:t xml:space="preserve">What the General Public mostly do not recognize is just how much disabled people and older people are having to pay for the current inadequate social care system.  In the next few weeks we are due to publish, on behalf of the Independent Living Strategy Group, a </w:t>
      </w:r>
      <w:r w:rsidR="00EC0E02" w:rsidRPr="008B04F4">
        <w:rPr>
          <w:rFonts w:ascii="Arial" w:hAnsi="Arial"/>
          <w:sz w:val="28"/>
          <w:szCs w:val="28"/>
        </w:rPr>
        <w:t>survey into care charges that the group</w:t>
      </w:r>
      <w:r w:rsidRPr="008B04F4">
        <w:rPr>
          <w:rFonts w:ascii="Arial" w:hAnsi="Arial"/>
          <w:sz w:val="28"/>
          <w:szCs w:val="28"/>
        </w:rPr>
        <w:t xml:space="preserve"> have been conducting.  The headline findings are:</w:t>
      </w:r>
    </w:p>
    <w:p w:rsidR="00CB39D7" w:rsidRPr="008B04F4" w:rsidRDefault="00CB39D7" w:rsidP="004A2976">
      <w:pPr>
        <w:pStyle w:val="BodyA"/>
        <w:rPr>
          <w:rFonts w:ascii="Arial" w:hAnsi="Arial"/>
          <w:sz w:val="28"/>
          <w:szCs w:val="28"/>
        </w:rPr>
      </w:pPr>
    </w:p>
    <w:p w:rsidR="00CB39D7" w:rsidRPr="008B04F4" w:rsidRDefault="00CB39D7" w:rsidP="008B04F4">
      <w:pPr>
        <w:pStyle w:val="gmail-msolistparagraph"/>
        <w:numPr>
          <w:ilvl w:val="0"/>
          <w:numId w:val="6"/>
        </w:numPr>
        <w:spacing w:before="0" w:beforeAutospacing="0" w:after="0" w:afterAutospacing="0" w:line="254" w:lineRule="auto"/>
        <w:rPr>
          <w:rFonts w:ascii="Arial" w:hAnsi="Arial" w:cs="Arial"/>
          <w:sz w:val="28"/>
          <w:szCs w:val="28"/>
        </w:rPr>
      </w:pPr>
      <w:r w:rsidRPr="008B04F4">
        <w:rPr>
          <w:rFonts w:ascii="Arial" w:hAnsi="Arial" w:cs="Arial"/>
          <w:sz w:val="28"/>
          <w:szCs w:val="28"/>
        </w:rPr>
        <w:t>Well over a third (41%) of people said they had experienced a substantial increase in the level of charge over the past 2 years.</w:t>
      </w:r>
    </w:p>
    <w:p w:rsidR="00CB39D7" w:rsidRPr="008B04F4" w:rsidRDefault="00CB39D7" w:rsidP="008B04F4">
      <w:pPr>
        <w:pStyle w:val="gmail-msolistparagraph"/>
        <w:numPr>
          <w:ilvl w:val="0"/>
          <w:numId w:val="6"/>
        </w:numPr>
        <w:spacing w:before="0" w:beforeAutospacing="0" w:after="0" w:afterAutospacing="0" w:line="254" w:lineRule="auto"/>
        <w:rPr>
          <w:rFonts w:ascii="Arial" w:hAnsi="Arial" w:cs="Arial"/>
          <w:sz w:val="28"/>
          <w:szCs w:val="28"/>
        </w:rPr>
      </w:pPr>
      <w:r w:rsidRPr="008B04F4">
        <w:rPr>
          <w:rFonts w:ascii="Arial" w:hAnsi="Arial" w:cs="Arial"/>
          <w:sz w:val="28"/>
          <w:szCs w:val="28"/>
        </w:rPr>
        <w:t>A third of people providing a figure for the increase in charges said they had experienced an increase of over 50% in the last two years.</w:t>
      </w:r>
    </w:p>
    <w:p w:rsidR="00CB39D7" w:rsidRPr="008B04F4" w:rsidRDefault="00CB39D7" w:rsidP="008B04F4">
      <w:pPr>
        <w:pStyle w:val="gmail-msolistparagraph"/>
        <w:numPr>
          <w:ilvl w:val="0"/>
          <w:numId w:val="6"/>
        </w:numPr>
        <w:spacing w:before="0" w:beforeAutospacing="0" w:after="0" w:afterAutospacing="0" w:line="254" w:lineRule="auto"/>
        <w:rPr>
          <w:rFonts w:ascii="Arial" w:hAnsi="Arial" w:cs="Arial"/>
          <w:sz w:val="28"/>
          <w:szCs w:val="28"/>
        </w:rPr>
      </w:pPr>
      <w:r w:rsidRPr="008B04F4">
        <w:rPr>
          <w:rFonts w:ascii="Arial" w:hAnsi="Arial" w:cs="Arial"/>
          <w:sz w:val="28"/>
          <w:szCs w:val="28"/>
        </w:rPr>
        <w:t>Just under half of the group (48%) said they had frequently or occasionally used money intended for other household costs such as food and heating to pay for care and support</w:t>
      </w:r>
    </w:p>
    <w:p w:rsidR="00CB39D7" w:rsidRPr="008B04F4" w:rsidRDefault="00CB39D7" w:rsidP="008B04F4">
      <w:pPr>
        <w:pStyle w:val="gmail-msolistparagraph"/>
        <w:numPr>
          <w:ilvl w:val="0"/>
          <w:numId w:val="6"/>
        </w:numPr>
        <w:spacing w:before="0" w:beforeAutospacing="0" w:after="0" w:afterAutospacing="0" w:line="254" w:lineRule="auto"/>
        <w:rPr>
          <w:rFonts w:ascii="Arial" w:hAnsi="Arial" w:cs="Arial"/>
          <w:sz w:val="28"/>
          <w:szCs w:val="28"/>
        </w:rPr>
      </w:pPr>
      <w:r w:rsidRPr="008B04F4">
        <w:rPr>
          <w:rFonts w:ascii="Arial" w:hAnsi="Arial" w:cs="Arial"/>
          <w:sz w:val="28"/>
          <w:szCs w:val="28"/>
        </w:rPr>
        <w:t>A significant minority (21%) reported that they had gone into debt by borrowing to pay for care and support. Informal debt was more common, with over half the group (52%) saying they had relied on family or friends to meet the cost of care and support</w:t>
      </w:r>
    </w:p>
    <w:p w:rsidR="00CB39D7" w:rsidRPr="008B04F4" w:rsidRDefault="00CB39D7" w:rsidP="008B04F4">
      <w:pPr>
        <w:pStyle w:val="gmail-msolistparagraph"/>
        <w:numPr>
          <w:ilvl w:val="0"/>
          <w:numId w:val="6"/>
        </w:numPr>
        <w:spacing w:before="0" w:beforeAutospacing="0" w:after="0" w:afterAutospacing="0" w:line="254" w:lineRule="auto"/>
        <w:rPr>
          <w:rFonts w:ascii="Arial" w:hAnsi="Arial" w:cs="Arial"/>
          <w:sz w:val="28"/>
          <w:szCs w:val="28"/>
        </w:rPr>
      </w:pPr>
      <w:r w:rsidRPr="008B04F4">
        <w:rPr>
          <w:rFonts w:ascii="Arial" w:hAnsi="Arial" w:cs="Arial"/>
          <w:sz w:val="28"/>
          <w:szCs w:val="28"/>
        </w:rPr>
        <w:t>Just over a third of the group (35%) reported that they had struggled to pay for care and support falling behind or delaying payments that were due.</w:t>
      </w:r>
    </w:p>
    <w:p w:rsidR="00CB39D7" w:rsidRPr="008B04F4" w:rsidRDefault="00CB39D7" w:rsidP="008B04F4">
      <w:pPr>
        <w:pStyle w:val="gmail-msolistparagraph"/>
        <w:numPr>
          <w:ilvl w:val="0"/>
          <w:numId w:val="6"/>
        </w:numPr>
        <w:spacing w:before="0" w:beforeAutospacing="0" w:after="0" w:afterAutospacing="0" w:line="254" w:lineRule="auto"/>
        <w:rPr>
          <w:rFonts w:ascii="Arial" w:hAnsi="Arial" w:cs="Arial"/>
          <w:sz w:val="28"/>
          <w:szCs w:val="28"/>
        </w:rPr>
      </w:pPr>
      <w:r w:rsidRPr="008B04F4">
        <w:rPr>
          <w:rFonts w:ascii="Arial" w:hAnsi="Arial" w:cs="Arial"/>
          <w:sz w:val="28"/>
          <w:szCs w:val="28"/>
        </w:rPr>
        <w:t>Well over three quarters of the group (78%) said that the worried about the cost of care and support.</w:t>
      </w:r>
    </w:p>
    <w:p w:rsidR="00CB39D7" w:rsidRPr="008B04F4" w:rsidRDefault="00CB39D7" w:rsidP="008B04F4">
      <w:pPr>
        <w:pStyle w:val="gmail-msolistparagraph"/>
        <w:numPr>
          <w:ilvl w:val="0"/>
          <w:numId w:val="6"/>
        </w:numPr>
        <w:spacing w:before="0" w:beforeAutospacing="0" w:after="0" w:afterAutospacing="0" w:line="254" w:lineRule="auto"/>
        <w:rPr>
          <w:rFonts w:ascii="Arial" w:hAnsi="Arial" w:cs="Arial"/>
          <w:sz w:val="28"/>
          <w:szCs w:val="28"/>
        </w:rPr>
      </w:pPr>
      <w:r w:rsidRPr="008B04F4">
        <w:rPr>
          <w:rFonts w:ascii="Arial" w:hAnsi="Arial" w:cs="Arial"/>
          <w:sz w:val="28"/>
          <w:szCs w:val="28"/>
        </w:rPr>
        <w:t>People are having to find money for care and support from other areas of essential spend, a third reported that they had reduced spending on housing costs (33%), Over a third had reduced the amount they spend on food (43%) and heating (40%) to meet the cost of care.</w:t>
      </w:r>
    </w:p>
    <w:p w:rsidR="00CB39D7" w:rsidRPr="008B04F4" w:rsidRDefault="00CB39D7" w:rsidP="008B04F4">
      <w:pPr>
        <w:pStyle w:val="gmail-msolistparagraph"/>
        <w:numPr>
          <w:ilvl w:val="0"/>
          <w:numId w:val="6"/>
        </w:numPr>
        <w:spacing w:before="0" w:beforeAutospacing="0" w:after="160" w:afterAutospacing="0" w:line="254" w:lineRule="auto"/>
        <w:rPr>
          <w:rFonts w:ascii="Arial" w:hAnsi="Arial" w:cs="Arial"/>
          <w:sz w:val="28"/>
          <w:szCs w:val="28"/>
        </w:rPr>
      </w:pPr>
      <w:r w:rsidRPr="008B04F4">
        <w:rPr>
          <w:rFonts w:ascii="Arial" w:hAnsi="Arial" w:cs="Arial"/>
          <w:sz w:val="28"/>
          <w:szCs w:val="28"/>
        </w:rPr>
        <w:t xml:space="preserve">The vast majority of people have a dim view of the local charging policy in their area, Just under two thirds of people viewed their policy as poor or very poor in terms of </w:t>
      </w:r>
      <w:r w:rsidR="006528CA" w:rsidRPr="008B04F4">
        <w:rPr>
          <w:rFonts w:ascii="Arial" w:hAnsi="Arial" w:cs="Arial"/>
          <w:sz w:val="28"/>
          <w:szCs w:val="28"/>
        </w:rPr>
        <w:t>fairness (</w:t>
      </w:r>
      <w:r w:rsidRPr="008B04F4">
        <w:rPr>
          <w:rFonts w:ascii="Arial" w:hAnsi="Arial" w:cs="Arial"/>
          <w:sz w:val="28"/>
          <w:szCs w:val="28"/>
        </w:rPr>
        <w:t xml:space="preserve">64%) and approaching three quarters as poor or very poor in terms of being easy to </w:t>
      </w:r>
      <w:r w:rsidR="006528CA" w:rsidRPr="008B04F4">
        <w:rPr>
          <w:rFonts w:ascii="Arial" w:hAnsi="Arial" w:cs="Arial"/>
          <w:sz w:val="28"/>
          <w:szCs w:val="28"/>
        </w:rPr>
        <w:t>understand (</w:t>
      </w:r>
      <w:r w:rsidRPr="008B04F4">
        <w:rPr>
          <w:rFonts w:ascii="Arial" w:hAnsi="Arial" w:cs="Arial"/>
          <w:sz w:val="28"/>
          <w:szCs w:val="28"/>
        </w:rPr>
        <w:t>71%).</w:t>
      </w:r>
    </w:p>
    <w:p w:rsidR="00CB39D7" w:rsidRPr="008B04F4" w:rsidRDefault="00CB39D7" w:rsidP="00CB39D7">
      <w:pPr>
        <w:rPr>
          <w:rFonts w:ascii="Arial" w:hAnsi="Arial" w:cs="Arial"/>
          <w:sz w:val="28"/>
          <w:szCs w:val="28"/>
        </w:rPr>
      </w:pPr>
    </w:p>
    <w:p w:rsidR="00CB39D7" w:rsidRPr="008B04F4" w:rsidRDefault="00CB39D7" w:rsidP="00CB39D7">
      <w:pPr>
        <w:spacing w:line="254" w:lineRule="auto"/>
        <w:rPr>
          <w:rFonts w:ascii="Arial" w:hAnsi="Arial" w:cs="Arial"/>
          <w:sz w:val="28"/>
          <w:szCs w:val="28"/>
        </w:rPr>
      </w:pPr>
      <w:r w:rsidRPr="008B04F4">
        <w:rPr>
          <w:rFonts w:ascii="Arial" w:hAnsi="Arial" w:cs="Arial"/>
          <w:bCs/>
          <w:sz w:val="28"/>
          <w:szCs w:val="28"/>
        </w:rPr>
        <w:t>The Freedom of information request to local authorities regarding their practise in relation to charging for social care.</w:t>
      </w:r>
    </w:p>
    <w:p w:rsidR="00CB39D7" w:rsidRPr="008B04F4" w:rsidRDefault="00CB39D7" w:rsidP="00CB39D7">
      <w:pPr>
        <w:spacing w:line="254" w:lineRule="auto"/>
        <w:rPr>
          <w:rFonts w:ascii="Arial" w:hAnsi="Arial" w:cs="Arial"/>
          <w:sz w:val="28"/>
          <w:szCs w:val="28"/>
        </w:rPr>
      </w:pPr>
      <w:r w:rsidRPr="008B04F4">
        <w:rPr>
          <w:rFonts w:ascii="Arial" w:hAnsi="Arial" w:cs="Arial"/>
          <w:bCs/>
          <w:sz w:val="28"/>
          <w:szCs w:val="28"/>
        </w:rPr>
        <w:t xml:space="preserve">Key findings </w:t>
      </w:r>
    </w:p>
    <w:p w:rsidR="00CB39D7" w:rsidRPr="008B04F4" w:rsidRDefault="00CB39D7" w:rsidP="008B04F4">
      <w:pPr>
        <w:pStyle w:val="gmail-msolistparagraph"/>
        <w:numPr>
          <w:ilvl w:val="0"/>
          <w:numId w:val="10"/>
        </w:numPr>
        <w:spacing w:before="0" w:beforeAutospacing="0" w:after="0" w:afterAutospacing="0" w:line="254" w:lineRule="auto"/>
        <w:rPr>
          <w:rFonts w:ascii="Arial" w:hAnsi="Arial" w:cs="Arial"/>
          <w:sz w:val="28"/>
          <w:szCs w:val="28"/>
        </w:rPr>
      </w:pPr>
      <w:r w:rsidRPr="008B04F4">
        <w:rPr>
          <w:rFonts w:ascii="Arial" w:hAnsi="Arial" w:cs="Arial"/>
          <w:sz w:val="28"/>
          <w:szCs w:val="28"/>
        </w:rPr>
        <w:t>All but one local authority currently choose to exercise their power to make a charge for social care services to people who need support. The vast majority of areas make services available to carers free of charge.</w:t>
      </w:r>
    </w:p>
    <w:p w:rsidR="00CB39D7" w:rsidRPr="008B04F4" w:rsidRDefault="00CB39D7" w:rsidP="008B04F4">
      <w:pPr>
        <w:pStyle w:val="gmail-msolistparagraph"/>
        <w:numPr>
          <w:ilvl w:val="0"/>
          <w:numId w:val="10"/>
        </w:numPr>
        <w:spacing w:before="0" w:beforeAutospacing="0" w:after="0" w:afterAutospacing="0" w:line="254" w:lineRule="auto"/>
        <w:rPr>
          <w:rFonts w:ascii="Arial" w:hAnsi="Arial" w:cs="Arial"/>
          <w:sz w:val="28"/>
          <w:szCs w:val="28"/>
        </w:rPr>
      </w:pPr>
      <w:r w:rsidRPr="008B04F4">
        <w:rPr>
          <w:rFonts w:ascii="Arial" w:hAnsi="Arial" w:cs="Arial"/>
          <w:sz w:val="28"/>
          <w:szCs w:val="28"/>
        </w:rPr>
        <w:t xml:space="preserve">Around 10% (16 of the 122) of local authorities who actually undertook an equality assessment failed to identify a single risk associated with their charging policy.  </w:t>
      </w:r>
    </w:p>
    <w:p w:rsidR="00CB39D7" w:rsidRPr="008B04F4" w:rsidRDefault="00CB39D7" w:rsidP="008B04F4">
      <w:pPr>
        <w:pStyle w:val="gmail-msolistparagraph"/>
        <w:numPr>
          <w:ilvl w:val="0"/>
          <w:numId w:val="10"/>
        </w:numPr>
        <w:spacing w:before="0" w:beforeAutospacing="0" w:after="0" w:afterAutospacing="0" w:line="254" w:lineRule="auto"/>
        <w:rPr>
          <w:rFonts w:ascii="Arial" w:hAnsi="Arial" w:cs="Arial"/>
          <w:sz w:val="28"/>
          <w:szCs w:val="28"/>
        </w:rPr>
      </w:pPr>
      <w:r w:rsidRPr="008B04F4">
        <w:rPr>
          <w:rFonts w:ascii="Arial" w:hAnsi="Arial" w:cs="Arial"/>
          <w:sz w:val="28"/>
          <w:szCs w:val="28"/>
        </w:rPr>
        <w:t>Those who did anticipate risks described a range of concerns associated with their charging policies including; a risk to peoples’ wellbeing and a risk of financial hardship.  Risks to the wellbeing of carers were identified and that people in need would decline help. Local authorities identified risks to themselves including a loss of income and legal challenges.</w:t>
      </w:r>
    </w:p>
    <w:p w:rsidR="00CB39D7" w:rsidRPr="008B04F4" w:rsidRDefault="00CB39D7" w:rsidP="008B04F4">
      <w:pPr>
        <w:pStyle w:val="gmail-msolistparagraph"/>
        <w:numPr>
          <w:ilvl w:val="0"/>
          <w:numId w:val="10"/>
        </w:numPr>
        <w:spacing w:before="0" w:beforeAutospacing="0" w:after="0" w:afterAutospacing="0" w:line="254" w:lineRule="auto"/>
        <w:rPr>
          <w:rFonts w:ascii="Arial" w:hAnsi="Arial" w:cs="Arial"/>
          <w:sz w:val="28"/>
          <w:szCs w:val="28"/>
        </w:rPr>
      </w:pPr>
      <w:r w:rsidRPr="008B04F4">
        <w:rPr>
          <w:rFonts w:ascii="Arial" w:hAnsi="Arial" w:cs="Arial"/>
          <w:sz w:val="28"/>
          <w:szCs w:val="28"/>
        </w:rPr>
        <w:t xml:space="preserve">Some, but by no means all local authorities demonstrated they had a good understanding of the risks associated with charging for social care and had some strategies in place to monitor and mitigate some risks. </w:t>
      </w:r>
    </w:p>
    <w:p w:rsidR="00CB39D7" w:rsidRPr="008B04F4" w:rsidRDefault="00CB39D7" w:rsidP="008B04F4">
      <w:pPr>
        <w:pStyle w:val="gmail-msolistparagraph"/>
        <w:numPr>
          <w:ilvl w:val="0"/>
          <w:numId w:val="10"/>
        </w:numPr>
        <w:spacing w:before="0" w:beforeAutospacing="0" w:after="160" w:afterAutospacing="0" w:line="254" w:lineRule="auto"/>
        <w:rPr>
          <w:rFonts w:ascii="Arial" w:hAnsi="Arial" w:cs="Arial"/>
          <w:sz w:val="28"/>
          <w:szCs w:val="28"/>
        </w:rPr>
      </w:pPr>
      <w:r w:rsidRPr="008B04F4">
        <w:rPr>
          <w:rFonts w:ascii="Arial" w:hAnsi="Arial" w:cs="Arial"/>
          <w:sz w:val="28"/>
          <w:szCs w:val="28"/>
        </w:rPr>
        <w:t>The majority of councils undertake assessment for and collection of charges directly, with only a very small number outsourcing the task.</w:t>
      </w:r>
    </w:p>
    <w:p w:rsidR="00CB39D7" w:rsidRPr="008B04F4" w:rsidRDefault="009E5EB4" w:rsidP="00CB39D7">
      <w:pPr>
        <w:rPr>
          <w:rFonts w:ascii="Arial" w:hAnsi="Arial" w:cs="Arial"/>
          <w:sz w:val="28"/>
          <w:szCs w:val="28"/>
        </w:rPr>
      </w:pPr>
      <w:r w:rsidRPr="008B04F4">
        <w:rPr>
          <w:rFonts w:ascii="Arial" w:hAnsi="Arial" w:cs="Arial"/>
          <w:sz w:val="28"/>
          <w:szCs w:val="28"/>
        </w:rPr>
        <w:t>We will be happy to make the full survey available when published.</w:t>
      </w:r>
    </w:p>
    <w:p w:rsidR="00CB39D7" w:rsidRPr="008B04F4" w:rsidRDefault="00CB39D7" w:rsidP="00CB39D7">
      <w:pPr>
        <w:rPr>
          <w:rFonts w:ascii="Arial" w:hAnsi="Arial" w:cs="Arial"/>
          <w:sz w:val="28"/>
          <w:szCs w:val="28"/>
        </w:rPr>
      </w:pPr>
    </w:p>
    <w:p w:rsidR="00CB39D7" w:rsidRPr="008B04F4" w:rsidRDefault="00CB39D7" w:rsidP="004A2976">
      <w:pPr>
        <w:pStyle w:val="BodyA"/>
        <w:rPr>
          <w:rFonts w:ascii="Arial" w:hAnsi="Arial" w:cs="Arial"/>
          <w:sz w:val="28"/>
          <w:szCs w:val="28"/>
        </w:rPr>
      </w:pPr>
    </w:p>
    <w:p w:rsidR="00CB39D7" w:rsidRPr="008B04F4" w:rsidRDefault="00EC0E02" w:rsidP="004A2976">
      <w:pPr>
        <w:pStyle w:val="BodyA"/>
        <w:rPr>
          <w:rFonts w:ascii="Arial" w:hAnsi="Arial" w:cs="Arial"/>
          <w:sz w:val="28"/>
          <w:szCs w:val="28"/>
        </w:rPr>
      </w:pPr>
      <w:r w:rsidRPr="008B04F4">
        <w:rPr>
          <w:rFonts w:ascii="Arial" w:hAnsi="Arial" w:cs="Arial"/>
          <w:sz w:val="28"/>
          <w:szCs w:val="28"/>
        </w:rPr>
        <w:t xml:space="preserve">For further information regarding this response please contact </w:t>
      </w:r>
    </w:p>
    <w:p w:rsidR="00EC0E02" w:rsidRPr="008B04F4" w:rsidRDefault="00EC0E02" w:rsidP="004A2976">
      <w:pPr>
        <w:pStyle w:val="BodyA"/>
        <w:rPr>
          <w:rFonts w:ascii="Arial" w:hAnsi="Arial" w:cs="Arial"/>
          <w:sz w:val="28"/>
          <w:szCs w:val="28"/>
        </w:rPr>
      </w:pPr>
    </w:p>
    <w:p w:rsidR="00130A15" w:rsidRPr="008B04F4" w:rsidRDefault="000A7CDD" w:rsidP="004A2976">
      <w:pPr>
        <w:pStyle w:val="BodyA"/>
        <w:rPr>
          <w:rFonts w:ascii="Arial" w:hAnsi="Arial" w:cs="Arial"/>
          <w:sz w:val="28"/>
          <w:szCs w:val="28"/>
        </w:rPr>
      </w:pPr>
      <w:hyperlink r:id="rId8" w:history="1">
        <w:r w:rsidR="00EC0E02" w:rsidRPr="008B04F4">
          <w:rPr>
            <w:rStyle w:val="Hyperlink"/>
            <w:rFonts w:ascii="Arial" w:hAnsi="Arial" w:cs="Arial"/>
            <w:sz w:val="28"/>
            <w:szCs w:val="28"/>
          </w:rPr>
          <w:t>Sue.Bott@disabilityrightsuk.org</w:t>
        </w:r>
      </w:hyperlink>
    </w:p>
    <w:p w:rsidR="004A2976" w:rsidRPr="008B04F4" w:rsidRDefault="004A2976" w:rsidP="004A2976">
      <w:pPr>
        <w:pStyle w:val="ListParagraph"/>
        <w:ind w:left="0"/>
        <w:rPr>
          <w:rFonts w:ascii="Arial" w:hAnsi="Arial" w:cs="Arial"/>
          <w:sz w:val="28"/>
          <w:szCs w:val="28"/>
        </w:rPr>
      </w:pPr>
    </w:p>
    <w:sectPr w:rsidR="004A2976" w:rsidRPr="008B04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86467"/>
    <w:multiLevelType w:val="hybridMultilevel"/>
    <w:tmpl w:val="11E4DF1C"/>
    <w:lvl w:ilvl="0" w:tplc="08090001">
      <w:start w:val="1"/>
      <w:numFmt w:val="bullet"/>
      <w:lvlText w:val=""/>
      <w:lvlJc w:val="left"/>
      <w:pPr>
        <w:ind w:left="937" w:hanging="795"/>
      </w:pPr>
      <w:rPr>
        <w:rFonts w:ascii="Symbol" w:hAnsi="Symbol" w:hint="default"/>
      </w:rPr>
    </w:lvl>
    <w:lvl w:ilvl="1" w:tplc="08090003" w:tentative="1">
      <w:start w:val="1"/>
      <w:numFmt w:val="bullet"/>
      <w:lvlText w:val="o"/>
      <w:lvlJc w:val="left"/>
      <w:pPr>
        <w:ind w:left="862" w:hanging="360"/>
      </w:pPr>
      <w:rPr>
        <w:rFonts w:ascii="Courier New" w:hAnsi="Courier New" w:cs="Courier New" w:hint="default"/>
      </w:rPr>
    </w:lvl>
    <w:lvl w:ilvl="2" w:tplc="08090005" w:tentative="1">
      <w:start w:val="1"/>
      <w:numFmt w:val="bullet"/>
      <w:lvlText w:val=""/>
      <w:lvlJc w:val="left"/>
      <w:pPr>
        <w:ind w:left="1582" w:hanging="360"/>
      </w:pPr>
      <w:rPr>
        <w:rFonts w:ascii="Wingdings" w:hAnsi="Wingdings" w:hint="default"/>
      </w:rPr>
    </w:lvl>
    <w:lvl w:ilvl="3" w:tplc="08090001" w:tentative="1">
      <w:start w:val="1"/>
      <w:numFmt w:val="bullet"/>
      <w:lvlText w:val=""/>
      <w:lvlJc w:val="left"/>
      <w:pPr>
        <w:ind w:left="2302" w:hanging="360"/>
      </w:pPr>
      <w:rPr>
        <w:rFonts w:ascii="Symbol" w:hAnsi="Symbol" w:hint="default"/>
      </w:rPr>
    </w:lvl>
    <w:lvl w:ilvl="4" w:tplc="08090003" w:tentative="1">
      <w:start w:val="1"/>
      <w:numFmt w:val="bullet"/>
      <w:lvlText w:val="o"/>
      <w:lvlJc w:val="left"/>
      <w:pPr>
        <w:ind w:left="3022" w:hanging="360"/>
      </w:pPr>
      <w:rPr>
        <w:rFonts w:ascii="Courier New" w:hAnsi="Courier New" w:cs="Courier New" w:hint="default"/>
      </w:rPr>
    </w:lvl>
    <w:lvl w:ilvl="5" w:tplc="08090005" w:tentative="1">
      <w:start w:val="1"/>
      <w:numFmt w:val="bullet"/>
      <w:lvlText w:val=""/>
      <w:lvlJc w:val="left"/>
      <w:pPr>
        <w:ind w:left="3742" w:hanging="360"/>
      </w:pPr>
      <w:rPr>
        <w:rFonts w:ascii="Wingdings" w:hAnsi="Wingdings" w:hint="default"/>
      </w:rPr>
    </w:lvl>
    <w:lvl w:ilvl="6" w:tplc="08090001" w:tentative="1">
      <w:start w:val="1"/>
      <w:numFmt w:val="bullet"/>
      <w:lvlText w:val=""/>
      <w:lvlJc w:val="left"/>
      <w:pPr>
        <w:ind w:left="4462" w:hanging="360"/>
      </w:pPr>
      <w:rPr>
        <w:rFonts w:ascii="Symbol" w:hAnsi="Symbol" w:hint="default"/>
      </w:rPr>
    </w:lvl>
    <w:lvl w:ilvl="7" w:tplc="08090003" w:tentative="1">
      <w:start w:val="1"/>
      <w:numFmt w:val="bullet"/>
      <w:lvlText w:val="o"/>
      <w:lvlJc w:val="left"/>
      <w:pPr>
        <w:ind w:left="5182" w:hanging="360"/>
      </w:pPr>
      <w:rPr>
        <w:rFonts w:ascii="Courier New" w:hAnsi="Courier New" w:cs="Courier New" w:hint="default"/>
      </w:rPr>
    </w:lvl>
    <w:lvl w:ilvl="8" w:tplc="08090005" w:tentative="1">
      <w:start w:val="1"/>
      <w:numFmt w:val="bullet"/>
      <w:lvlText w:val=""/>
      <w:lvlJc w:val="left"/>
      <w:pPr>
        <w:ind w:left="5902" w:hanging="360"/>
      </w:pPr>
      <w:rPr>
        <w:rFonts w:ascii="Wingdings" w:hAnsi="Wingdings" w:hint="default"/>
      </w:rPr>
    </w:lvl>
  </w:abstractNum>
  <w:abstractNum w:abstractNumId="1">
    <w:nsid w:val="2A9672BA"/>
    <w:multiLevelType w:val="hybridMultilevel"/>
    <w:tmpl w:val="32D444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39D72BA6"/>
    <w:multiLevelType w:val="hybridMultilevel"/>
    <w:tmpl w:val="FCBC4EA0"/>
    <w:lvl w:ilvl="0" w:tplc="4C921094">
      <w:numFmt w:val="bullet"/>
      <w:lvlText w:val="·"/>
      <w:lvlJc w:val="left"/>
      <w:pPr>
        <w:ind w:left="1515" w:hanging="795"/>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480D5DFD"/>
    <w:multiLevelType w:val="hybridMultilevel"/>
    <w:tmpl w:val="4A5AD450"/>
    <w:lvl w:ilvl="0" w:tplc="4C921094">
      <w:numFmt w:val="bullet"/>
      <w:lvlText w:val="·"/>
      <w:lvlJc w:val="left"/>
      <w:pPr>
        <w:ind w:left="1515" w:hanging="795"/>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51BD18C7"/>
    <w:multiLevelType w:val="hybridMultilevel"/>
    <w:tmpl w:val="5D7E3546"/>
    <w:lvl w:ilvl="0" w:tplc="08090001">
      <w:start w:val="1"/>
      <w:numFmt w:val="bullet"/>
      <w:lvlText w:val=""/>
      <w:lvlJc w:val="left"/>
      <w:pPr>
        <w:ind w:left="1079" w:hanging="795"/>
      </w:pPr>
      <w:rPr>
        <w:rFonts w:ascii="Symbol" w:hAnsi="Symbol" w:hint="default"/>
      </w:rPr>
    </w:lvl>
    <w:lvl w:ilvl="1" w:tplc="08090003" w:tentative="1">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abstractNum w:abstractNumId="5">
    <w:nsid w:val="55DD419A"/>
    <w:multiLevelType w:val="hybridMultilevel"/>
    <w:tmpl w:val="0AC459E8"/>
    <w:lvl w:ilvl="0" w:tplc="4C921094">
      <w:numFmt w:val="bullet"/>
      <w:lvlText w:val="·"/>
      <w:lvlJc w:val="left"/>
      <w:pPr>
        <w:ind w:left="2235" w:hanging="795"/>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5819110E"/>
    <w:multiLevelType w:val="hybridMultilevel"/>
    <w:tmpl w:val="714CE982"/>
    <w:numStyleLink w:val="Bullet"/>
  </w:abstractNum>
  <w:abstractNum w:abstractNumId="7">
    <w:nsid w:val="68FC5812"/>
    <w:multiLevelType w:val="hybridMultilevel"/>
    <w:tmpl w:val="CD56E080"/>
    <w:lvl w:ilvl="0" w:tplc="4C921094">
      <w:numFmt w:val="bullet"/>
      <w:lvlText w:val="·"/>
      <w:lvlJc w:val="left"/>
      <w:pPr>
        <w:ind w:left="2235" w:hanging="795"/>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6B83466B"/>
    <w:multiLevelType w:val="hybridMultilevel"/>
    <w:tmpl w:val="714CE982"/>
    <w:styleLink w:val="Bullet"/>
    <w:lvl w:ilvl="0" w:tplc="AA24D756">
      <w:start w:val="1"/>
      <w:numFmt w:val="bullet"/>
      <w:lvlText w:val="•"/>
      <w:lvlJc w:val="left"/>
      <w:pPr>
        <w:ind w:left="229" w:hanging="22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B1F456D2">
      <w:start w:val="1"/>
      <w:numFmt w:val="bullet"/>
      <w:lvlText w:val="•"/>
      <w:lvlJc w:val="left"/>
      <w:pPr>
        <w:ind w:left="409" w:hanging="22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3370DB9C">
      <w:start w:val="1"/>
      <w:numFmt w:val="bullet"/>
      <w:lvlText w:val="•"/>
      <w:lvlJc w:val="left"/>
      <w:pPr>
        <w:ind w:left="589" w:hanging="22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A0F682B8">
      <w:start w:val="1"/>
      <w:numFmt w:val="bullet"/>
      <w:lvlText w:val="•"/>
      <w:lvlJc w:val="left"/>
      <w:pPr>
        <w:ind w:left="769" w:hanging="22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5FD6199C">
      <w:start w:val="1"/>
      <w:numFmt w:val="bullet"/>
      <w:lvlText w:val="•"/>
      <w:lvlJc w:val="left"/>
      <w:pPr>
        <w:ind w:left="949" w:hanging="22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C90C6504">
      <w:start w:val="1"/>
      <w:numFmt w:val="bullet"/>
      <w:lvlText w:val="•"/>
      <w:lvlJc w:val="left"/>
      <w:pPr>
        <w:ind w:left="1129" w:hanging="22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ACF4A802">
      <w:start w:val="1"/>
      <w:numFmt w:val="bullet"/>
      <w:lvlText w:val="•"/>
      <w:lvlJc w:val="left"/>
      <w:pPr>
        <w:ind w:left="1309" w:hanging="22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07C0BCA6">
      <w:start w:val="1"/>
      <w:numFmt w:val="bullet"/>
      <w:lvlText w:val="•"/>
      <w:lvlJc w:val="left"/>
      <w:pPr>
        <w:ind w:left="1489" w:hanging="22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DE1A3E52">
      <w:start w:val="1"/>
      <w:numFmt w:val="bullet"/>
      <w:lvlText w:val="•"/>
      <w:lvlJc w:val="left"/>
      <w:pPr>
        <w:ind w:left="1669" w:hanging="22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76671D77"/>
    <w:multiLevelType w:val="hybridMultilevel"/>
    <w:tmpl w:val="0D8C0A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6"/>
  </w:num>
  <w:num w:numId="3">
    <w:abstractNumId w:val="1"/>
  </w:num>
  <w:num w:numId="4">
    <w:abstractNumId w:val="3"/>
  </w:num>
  <w:num w:numId="5">
    <w:abstractNumId w:val="5"/>
  </w:num>
  <w:num w:numId="6">
    <w:abstractNumId w:val="0"/>
  </w:num>
  <w:num w:numId="7">
    <w:abstractNumId w:val="9"/>
  </w:num>
  <w:num w:numId="8">
    <w:abstractNumId w:val="2"/>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D70"/>
    <w:rsid w:val="000A7CDD"/>
    <w:rsid w:val="00130A15"/>
    <w:rsid w:val="002668B1"/>
    <w:rsid w:val="00401A60"/>
    <w:rsid w:val="004A2976"/>
    <w:rsid w:val="005D5DF9"/>
    <w:rsid w:val="006528CA"/>
    <w:rsid w:val="00731D70"/>
    <w:rsid w:val="008B04F4"/>
    <w:rsid w:val="009E5EB4"/>
    <w:rsid w:val="00CB39D7"/>
    <w:rsid w:val="00E55A37"/>
    <w:rsid w:val="00EC0E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4A2976"/>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en-US" w:eastAsia="en-GB"/>
    </w:rPr>
  </w:style>
  <w:style w:type="paragraph" w:styleId="ListParagraph">
    <w:name w:val="List Paragraph"/>
    <w:rsid w:val="004A2976"/>
    <w:pPr>
      <w:pBdr>
        <w:top w:val="nil"/>
        <w:left w:val="nil"/>
        <w:bottom w:val="nil"/>
        <w:right w:val="nil"/>
        <w:between w:val="nil"/>
        <w:bar w:val="nil"/>
      </w:pBdr>
      <w:spacing w:after="0" w:line="240" w:lineRule="auto"/>
      <w:ind w:left="720"/>
    </w:pPr>
    <w:rPr>
      <w:rFonts w:ascii="Cambria" w:eastAsia="Cambria" w:hAnsi="Cambria" w:cs="Cambria"/>
      <w:color w:val="000000"/>
      <w:sz w:val="24"/>
      <w:szCs w:val="24"/>
      <w:u w:color="000000"/>
      <w:bdr w:val="nil"/>
      <w:lang w:val="en-US" w:eastAsia="en-GB"/>
    </w:rPr>
  </w:style>
  <w:style w:type="numbering" w:customStyle="1" w:styleId="Bullet">
    <w:name w:val="Bullet"/>
    <w:rsid w:val="004A2976"/>
    <w:pPr>
      <w:numPr>
        <w:numId w:val="1"/>
      </w:numPr>
    </w:pPr>
  </w:style>
  <w:style w:type="paragraph" w:customStyle="1" w:styleId="gmail-msolistparagraph">
    <w:name w:val="gmail-msolistparagraph"/>
    <w:basedOn w:val="Normal"/>
    <w:rsid w:val="00CB39D7"/>
    <w:pPr>
      <w:spacing w:before="100" w:beforeAutospacing="1" w:after="100" w:afterAutospacing="1" w:line="240" w:lineRule="auto"/>
    </w:pPr>
    <w:rPr>
      <w:rFonts w:ascii="Calibri" w:hAnsi="Calibri" w:cs="Calibri"/>
      <w:lang w:eastAsia="en-GB"/>
    </w:rPr>
  </w:style>
  <w:style w:type="character" w:styleId="Hyperlink">
    <w:name w:val="Hyperlink"/>
    <w:basedOn w:val="DefaultParagraphFont"/>
    <w:uiPriority w:val="99"/>
    <w:unhideWhenUsed/>
    <w:rsid w:val="00EC0E02"/>
    <w:rPr>
      <w:color w:val="0563C1" w:themeColor="hyperlink"/>
      <w:u w:val="single"/>
    </w:rPr>
  </w:style>
  <w:style w:type="character" w:customStyle="1" w:styleId="UnresolvedMention">
    <w:name w:val="Unresolved Mention"/>
    <w:basedOn w:val="DefaultParagraphFont"/>
    <w:uiPriority w:val="99"/>
    <w:semiHidden/>
    <w:unhideWhenUsed/>
    <w:rsid w:val="00EC0E02"/>
    <w:rPr>
      <w:color w:val="808080"/>
      <w:shd w:val="clear" w:color="auto" w:fill="E6E6E6"/>
    </w:rPr>
  </w:style>
  <w:style w:type="paragraph" w:styleId="BalloonText">
    <w:name w:val="Balloon Text"/>
    <w:basedOn w:val="Normal"/>
    <w:link w:val="BalloonTextChar"/>
    <w:uiPriority w:val="99"/>
    <w:semiHidden/>
    <w:unhideWhenUsed/>
    <w:rsid w:val="000A7C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C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4A2976"/>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en-US" w:eastAsia="en-GB"/>
    </w:rPr>
  </w:style>
  <w:style w:type="paragraph" w:styleId="ListParagraph">
    <w:name w:val="List Paragraph"/>
    <w:rsid w:val="004A2976"/>
    <w:pPr>
      <w:pBdr>
        <w:top w:val="nil"/>
        <w:left w:val="nil"/>
        <w:bottom w:val="nil"/>
        <w:right w:val="nil"/>
        <w:between w:val="nil"/>
        <w:bar w:val="nil"/>
      </w:pBdr>
      <w:spacing w:after="0" w:line="240" w:lineRule="auto"/>
      <w:ind w:left="720"/>
    </w:pPr>
    <w:rPr>
      <w:rFonts w:ascii="Cambria" w:eastAsia="Cambria" w:hAnsi="Cambria" w:cs="Cambria"/>
      <w:color w:val="000000"/>
      <w:sz w:val="24"/>
      <w:szCs w:val="24"/>
      <w:u w:color="000000"/>
      <w:bdr w:val="nil"/>
      <w:lang w:val="en-US" w:eastAsia="en-GB"/>
    </w:rPr>
  </w:style>
  <w:style w:type="numbering" w:customStyle="1" w:styleId="Bullet">
    <w:name w:val="Bullet"/>
    <w:rsid w:val="004A2976"/>
    <w:pPr>
      <w:numPr>
        <w:numId w:val="1"/>
      </w:numPr>
    </w:pPr>
  </w:style>
  <w:style w:type="paragraph" w:customStyle="1" w:styleId="gmail-msolistparagraph">
    <w:name w:val="gmail-msolistparagraph"/>
    <w:basedOn w:val="Normal"/>
    <w:rsid w:val="00CB39D7"/>
    <w:pPr>
      <w:spacing w:before="100" w:beforeAutospacing="1" w:after="100" w:afterAutospacing="1" w:line="240" w:lineRule="auto"/>
    </w:pPr>
    <w:rPr>
      <w:rFonts w:ascii="Calibri" w:hAnsi="Calibri" w:cs="Calibri"/>
      <w:lang w:eastAsia="en-GB"/>
    </w:rPr>
  </w:style>
  <w:style w:type="character" w:styleId="Hyperlink">
    <w:name w:val="Hyperlink"/>
    <w:basedOn w:val="DefaultParagraphFont"/>
    <w:uiPriority w:val="99"/>
    <w:unhideWhenUsed/>
    <w:rsid w:val="00EC0E02"/>
    <w:rPr>
      <w:color w:val="0563C1" w:themeColor="hyperlink"/>
      <w:u w:val="single"/>
    </w:rPr>
  </w:style>
  <w:style w:type="character" w:customStyle="1" w:styleId="UnresolvedMention">
    <w:name w:val="Unresolved Mention"/>
    <w:basedOn w:val="DefaultParagraphFont"/>
    <w:uiPriority w:val="99"/>
    <w:semiHidden/>
    <w:unhideWhenUsed/>
    <w:rsid w:val="00EC0E02"/>
    <w:rPr>
      <w:color w:val="808080"/>
      <w:shd w:val="clear" w:color="auto" w:fill="E6E6E6"/>
    </w:rPr>
  </w:style>
  <w:style w:type="paragraph" w:styleId="BalloonText">
    <w:name w:val="Balloon Text"/>
    <w:basedOn w:val="Normal"/>
    <w:link w:val="BalloonTextChar"/>
    <w:uiPriority w:val="99"/>
    <w:semiHidden/>
    <w:unhideWhenUsed/>
    <w:rsid w:val="000A7C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C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8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Bott@disabilityrightsuk.org"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B1D32-7498-4D31-8752-63CEBA6C4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1427</Words>
  <Characters>8139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Bott</dc:creator>
  <cp:lastModifiedBy>studentsw</cp:lastModifiedBy>
  <cp:revision>2</cp:revision>
  <dcterms:created xsi:type="dcterms:W3CDTF">2018-10-02T09:23:00Z</dcterms:created>
  <dcterms:modified xsi:type="dcterms:W3CDTF">2018-10-02T09:23:00Z</dcterms:modified>
</cp:coreProperties>
</file>